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25.02.2021, оставленным без изменения постановлением Восемнадцатого арбитражного апелляционного суда от 21.05.2021 и постановлением Арбитражного суда Уральского округа от 02.08.2021, в удовлетворении заявления отказано. В кассационной жалобе банк просит об отмене судебных актов, ссылаясь на совершение должником безвозмездной сделки в ситуации осведомленности о будущих притязаниях банка к нему как поручителю.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оспариваемый договор заключен должником до принятия обязательств по поручительству за общество «Башкирский птицеводческий комплекс им. М. Гафури» и выдача поручительства была обусловлена вступлением в должность генерального директора. Учитывая это обстоятельство, суды не установили заключения договора дарения во вред кредиторам в качестве одного из условий недействительности сделки по заявленному основанию – пункту 2 статьи 61.2 Федерального закона от 26.10.2002 № 127-ФЗ «О несостоятельности (банкротстве)». Требуемая переоценка обстоятельств совершения сделки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