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09.03.2021, оставленным без изменения постановлением Первого арбитражного апелляционного суда от 29.04.2021 и постановлением Арбитражного суда Волго-Вятского округа от 06.08.2021, процедура реализации имущества должника завершена, должник не освобожден от дальнейшего исполнения требований ПАО «Сбербанк России». В кассационной жалобе Обоянский Е.А. просит о пересмотре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Обоянскому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