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16.12.2020 иск удовлетворен. Постановлением Девятого арбитражного апелляционного суда от 22.03.2021, оставленным без изменения и постановлением Арбитражного суда Московского округа от 07.07.2021, решение отменено, в удовлетворении иска отказано. В кассационной жалобе общество «Газпромтранс» просит отменить судебные акты апелляционного и окружного судов, ссылаясь на наступление ответственности без вины в отсутствие обстоятельств непреодолимой силы.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составляющих условия для применения ответственности, относится к компетенции суда апелляционной инстанции и требуемая их переоценка не создает оснований для кассационного пересмотра принятого им судебного акта.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