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Ростовской области от 25.02.2021, оставленным без изменения постановлением Пятнадцатого арбитражного апелляционного суда от 27.04.2021 и постановлением Арбитражного суда Северо-Кавказского округа от 05.08.2021, первоначальный иск удовлетворен, во встречном иске отказано. В кассационной жалобе общество «Велес А» просит об отмене судебных актов как основанных на недопустимом доказательстве и противоречащих законной ответственности экспедитора за порчу груза.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оказание обществом «Мега» транспортных услуг, неоплату их обществом «Велес А» и недоказанность последним повреждения груза в период перевозки, разрешили заявленные требования в соответствии со статьями 15, 309, 310, 393, 395, 801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«Велес 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