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02.02.2021 в иске отказано. Тринадцатый арбитражный апелляционный суд перешел к рассмотрению дела по правилам для суда первой инстанции и постановлением от 02.06.2021, решение отменил, взыскал с общества «Картранссервис» 4 962 636 рублей 88 копеек ущерба, в иске к обществу «Нева Плюс» отказал. Постановлением Арбитражного суда Северо-Западного округа от 25.08.2021 постановление апелляционного суда оставлено без изменения. В кассационной жалобе общество «Картранссервис» просит об отмене судебных актов апелляционного и окружного судов вследствие неправильного определения начала течения срока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Начало течения срока исковой давности определено по правилу статьи 200 Гражданского кодекса Российской Федерации с момента осведомленности истца о том, что общество «Картранссервис» является перевозчиком.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«Картранссервис»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