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12.11.2020, оставленным без изменения постановлением Первого арбитражного апелляционного суда от 22.03.2021, в удовлетворении заявления отказано в связи с пропуском срока исковой давности. Арбитражный суд Волго-Вятского округа постановлением от 07.07.2021 определение от 12.11.2020 и постановление Первого арбитражного апелляционного суда от 22.03.2021 оставил без изменения. В кассационной жалобе финансовый управляющий просит об отмене судебных актов, ссылаясь на неправильное определение начала течения срока исковой давности и подтвержденность наличия между супругами сделки на спорную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Основанием для отказа в удовлетворении заявления явилось отсутствие предмета спора – сделки, подлежащей проверке на соответствие законодательству о банкротстве. Вопрос об исковой давности не имеет значения в случае рассмотрения требования по существу.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Аминовой А.Р.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