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13.10.2020, оставленным без изменения постановлением Седьмого арбитражного апелляционного суда от 04.03.2021, иск удовлетворен. Арбитражный суд Западно-Сибирского округа постановлением от 14.07.2021 решение от 13.10.2020 и постановление апелляционного суда от 04.03.2021 отменил, направил дело на новое рассмотрение в Арбитражный суд Новосибирской области. В кассационной жалобе общество «Медсоюз» просит об отмене постановления суда округа, ссылаясь на необоснованное применение статьи 10 Гражданского кодекса Российской Федерации, положений об 2 аффилированности и нарушение принципов равенства и состязательности сторон.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установил, что нижестоящие суды не исследовали правоотношения между лицами, причастными к заключению оспариваемых сделок, в целях выяснения их осведомленности об основаниях недействительности сделок, необходимого для установления за истцом права на оспаривание сделок, за ответчиком – на защиту через заявление о применении исковой давности. Постановление окружного суда не содержит выводов об обстоятельствах дела и подлежащих применению нормах права, предопределяющих существо будущего судебного акта, соответствует полномочиям, предоставленным статьями 286, 287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«Медсоюз»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