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07.05.2021, оставленным без изменения постановлением Десятого арбитражного 2 апелляционного суда от 30.06.2021, оспариваемое постановление изменено в части назначенного наказания, штраф снижен до 57 620,51 рублей. Постановлением Арбитражного суда Московского округа от 16.09.2021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иностранными гражданами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3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Часть 2 статьи 14 Закона о валютном регулировании и валютном контроле не допускает возможность осуществления юридическим лицом - резидентом расчетов с физическими лицами - нерезидентами по выплате заработной платы наличными денежными средствами (пункт 2.2 определения Конституционного Суда Российской Федерации от 20.07.2021 № 1664-О). Судами установлено, что процедура и срок давности привлечения к административной ответственности соблюдены, назначенное наказание снижено судом ниже низшего размера санкции нормы. Оснований для 4 применения статьи 2.9 Кодекса Российской Федерации об административных правонарушениях и освобождения от административной ответственности, суды не усмотрели.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обществом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