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28.10.2020 заявленные обществом требования удовлетворены. Постановлением Десятого арбитражного апелляционного суда от 31.05.2021, оставленным без изменения постановлением Арбитражного суда Московского округа от 26.08.2021, решение суда отменено, в удовлетворения заявления отказано. В жалобе общество ссылается на нарушение принятыми по делу судебными актами его прав и законных интересов в результате неправильного применения судами норм права при рассмотрении настоящего спора.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Спорным вопросом по настоящему делу является вопрос возможности использования банком пониженных ставок по земельному налогу за 2016 год в отношении земельных участков, приобретенных банком у ФИО1 в счет уплаты задолженности по вексельным обязательствам, для их дальнейшей перепродажи налогоплательщиком с целью осуществления предпринимательской деятельности. Видами разрешенного использования указанных земельных участков являются «для индивидуального жилищного строительства», «для строительства коттеджного поселка». Руководствуясь положениями Налогового кодекса Российской Федерации, Земельного налога Российской Федерации, суды учли, что по смыслу действующего налогового законодательства при разрешении вопроса о правомерности использования льготной ставки налога, помимо категории земельного участка и вида разрешенного использование, имеет существенное значение факт использования налогоплательщиком земельного участка для вышеуказанных целей. Учитывая, что банк, приобретая данные земельные участки как инструмент платежа взамен исполнения денежного обязательства, исходил из коммерческих целей, применение банком пониженной ставки земельного налога 0,2%, установленной пунктом 2.2 решения Совета депутатов городского округа Химки Московской области от 27.11.2009 № 48/3 «О земельном налоге» (в редакции, действующей в спорный период) в отношении земельных участков, занятых жилищным фондом и объектами инженерной инфраструктуры жилищно-коммунального комплекса или приобретенных (предоставленных) для жилищного строительства, не обоснованно. Налог за указанный период подлежал исчислению исходя из ставки 1,5 процента, установленной в отношении прочих земельных участков. Доводы, изложенные обществом в кассационной жалобе, не свидетельствуют о существенном нарушении судами при вынесении обжалуемых судебных актов норм материального и процессуального права, которые повлияли или могли повлиять на исход рассматриваемого спора и являться основанием для отмены названных судебных актов в кассационном порядке.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«Экспортно-Импортный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