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16.12.2020 заявленные обществом требования удовлетворены. Постановлением Десятого арбитражного апелляционного суда от 18.05.2021, оставленным без изменения постановлением Арбитражного суда Московского округа от 26.08.2021, решение суда отменено, в удовлетворения заявления отказано. В жалобе общество ссылается на нарушение принятыми по делу судебными актами его прав и законных интересов в результате неправильного применения судами норм права при рассмотрении настоящего спора. Согласно пункту 1 части 7 статьи 291.6 Арбитражного процессуального кодекса Российской Федерации по результатам изучения кассационных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Спорным вопросом по настоящему делу является вопрос возможности использования банком пониженных ставок по земельному налогу за 2018 год в отношении земельных участков, приобретенных банком у ФИО1 в счет уплаты задолженности по вексельным обязательствам, для их дальнейшей перепродажи налогоплательщиком с целью осуществления предпринимательской деятельности. Видами разрешенного использования указанных земельных участков являются «для индивидуального жилищного строительства», «для строительства коттеджного поселка». Руководствуясь положениями Налогового кодекса Российской Федерации, Земельного налога Российской Федерации, суды учли, что по смыслу действующего налогового законодательства при разрешении вопроса о правомерности использования льготной ставки налога, помимо категории земельного участка и вида разрешенного использование, имеет существенное значение факт использования налогоплательщиком земельного участка для вышеуказанных целей. Учитывая, что банк, приобретая данные земельные участки как инструмент платежа взамен исполнения денежного обязательства, исходил из коммерческих целей, применение банком пониженного коэффициента 0,2, установленного пунктом 2.2 решения Совета депутатов городского округа Химки Московской области от 27.11.2009 № 48/3 «О земельном налоге» (в редакции, действующей в спорный период) в отношении земельных участков, занятых жилищным фондом и объектами инженерной инфраструктуры жилищно-коммунального комплекса или приобретенных (предоставленных) для жилищного строительства, необоснованно. Налог за указанный период подлежал исчислению исходя из ставки 1,5 процента, установленной в отношении прочих земельных участков. Доводы, изложенные обществом в кассационной жалобе, не свидетельствуют о существенном нарушении судами при вынесении обжалуемых судебных актов норм материального и процессуального права, которые повлияли или могли повлиять на исход рассматриваемого спора и являться основанием для отмены названных судебных актов в кассационном порядке.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открытому акционерному обществу «Экспортно-Импортный 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