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08.04.2021, оставленным без изменения постановлением Десятого арбитражного апелляционного суда от 28.05.2021, в удовлетворении заявления отказано. Постановлением Арбитражного суда Московского округа от 08.09.2021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заявленные требования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правонарушениях, указав,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При этом часть 2 статьи 14 Закона о валютном регулировании и валютном контроле не допускает возможность осуществления юридическим лицом - резидентом расчетов с физическими лицами - нерезидентами по выплате заработной платы наличными денежными средствами (пункт 2.2 определения Конституционного Суда Российской Федерации от 20.07.2021 № 1664-О). Судами установлено, что процедура и срок давности привлечения к административной ответственности соблюдены, наказание назначено в пределах санкции нормы. Оснований для применения статьи 2.9 Кодекса Российской Федерации об административных правонарушениях и освобождения от административной ответственности, суды не усмотрели.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