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05.04.2021, оставленным без изменения постановлениями Пятнадцатого арбитражного апелляционного суда от 18.05.2021 и Арбитражного суда Северо-Кавказского округа от 06.09.2021, иск общества удовлетворен.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деятельность по перевозке пассажиров автобусами по маршрутам в городском сообщении на платной основе в городе Волгодонске. На основании договоров, заключенных с департаментом, общество предоставляло в 2018 году услуги по перевозке льготных категорий граждан на городском пассажирском транспорте общего пользования, а департамент возмещал предприятию расходы за предоставленные меры социальной поддержки. Полагая, что расходы, связанные с предоставлением обществом бесплатного проезда на городском пассажирском транспорте льготных категорий граждан возмещены не в полном объеме,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 , 790 , 1069 , 1071 Гражданского кодекса Российской Федерации, постановлением Правительства Ростовской области от 15.12.2011 № 232 «О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предоставления», суды пришли к выводу о том, что убытки, возникшие у истца в связи с предоставлением льгот по перевозке в общественном пассажирском транспорте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