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16.03.2021 и постановлением Арбитражного суда Московского округа от 10.08.2021,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налоговым органом обществу направлено требование от 07.07.2020 № 17-15/933 о предоставлении документов (информации) в рамках заключенного с Министерством промышленности и торговли Российской Федерации соглашения от 28.12.2017 № 020-11-989 о предоставлении субсидии российским лизинговым компаниям на возмещение части затрат на уплату процентов по кредитам. Указанное требование обществом не исполнено. Не согласившись с требованием налогового органа, общество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положениями Налогового кодекса Российской Федерации, Закона Российской Федерации от 21.03.1991 № 943-1 «О налоговых органах Российской Федерации», учитывая разъяснения, изложенные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законности направленного в адрес налогоплательщика требования, с чем согласился суд округа. Судебные инстанции исходили из наличия у налогового органа права на получение от налогоплательщика документов и информации по конкретной сделке, проведение мероприятий налогового контроля вне рамок камеральной (выездной) налоговой проверки. Доводы, изложенные в кассационной жалобе,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