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суд с заявлением о взыскании солидарно с общества с ограниченной ответственностью «Монтажно-строительное специализированное управление», его правопреемника общества с ограниченной ответственностью «Крепость» судебных расходов в размере 161 288 рублей 27 копеек и вознаграждения арбитражного управляющего в размере 988 229 рублей 73 копеек. Определением Арбитражного суда Иркутской области 15.03.2021, оставленным без изменения постановлениями Четвёртого арбитражного апелляционного суда от 27.05.2021 и Арбитражного суда Восточно-Сибирского округа от 13.09.2021,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заявление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59 Федерального закона от 26.10.2002 № 127-ФЗ «О несостоятельности (банкротстве)», пунктом 15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исходили из отсутствия оснований для удовлетворения требований ФИО1 по заявленным основаниям, указав на отсутствие оснований для возложения на ответчиков расходов сверх установленного лимита.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путём использования систем видеоконференц-связи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«Аутригер»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конкурсного управляющего обществом с ограниченной ответственностью «Аутригер» ФИО1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