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вешением Арбитражного суда Владимирской области от 08.02.2021, оставленным без изменения постановлением Первого арбитражного апелляционного суда от 01.04.2021, в удовлетворении требований отказано. 2 Постановлением Арбитражного суда Волго-Вятского округа от 10.08.2021 указанные судебные акты оставлены без изменения. Общество в кассационной жалобе просит отменить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административной ответственности послужил выявленный административным органом факт нарушения обществом порядка учета оборота алкогольной продукции. Статьей 14.19 Кодекса Российской Федерации об административных правонарушениях предусмотрена ответственность за нарушение установленного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порядка учета объема производства, оборота и (или) использования этилового спирта, алкогольной и спиртосодержащей продукции или порядка учета использования производственных мощностей, объема собранного винограда и использованного для производства 3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порядке.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Приложения № 5 к Приказу Федеральной службы по регулированию алкогольного рынка от 21.05.2014 № 149, Правил функционирования единой государственной информационной системы учета объема производства и оборота этилового спирта, алкогольной и спиртосодержащей продукции, утвержденных постановлением Правительства Российской Федерации от 29.12.2015 № 1459, суды пришли к выводу о наличии в действиях общества состава административного правонарушения, предусмотренного статьей 14.19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Ссылка на то, что Приказом № 149 предусмотрен только крайний срок представления заявки о фиксации, выводы судов не опровергает, поскольку в рассматриваемом случае обществу не вменялась предварительная фиксация сведений до даты фактической отгрузки алкогольной продукции. Иные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Обстоятельств, исключающих производство по делу об административном правонарушении, а также обстоятельств, при которых 4 допущенное обществом правонарушение могло быть признано малозначительным, судами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