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недействительной сделкой договора уступки от 26.05.2016 № Р14-30151-ДУ, заключенного между должником и обществом, применении последствий её недействительности. Определением Арбитражного суда города Москвы от 21.03.2019, оставленным без изменения постановлением Девятого арбитражного апелляционного суда от 11.06.2019, в удовлетворении заявления отказано. Постановлением Арбитражного суда Московского округа от 27.08.2019 данные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27.01.2021 в удовлетворении заявления отказано. Постановлением Девятого арбитражного апелляционного суда от 28.04.2021, оставленным без изменения постановлением Арбитражного суда Московского округа от 13.08.2021, определение суда первой инстанции от 27.01.2021 отменено; заявление удовлетворено.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направить дело на новое рассмотрение в суд апелляционной инстанции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10 , 168 Гражданского кодекса Российской Федерации, статьями 2, 19, пунктами 1 и 2 статьи 61.2 Федерального закона от 26.10.2002 № 127-ФЗ «О несостоятельности (банкротстве)», установив, что оспариваемая сделка совершена неплатёжеспособным должником в пользу заинтересованного лица в отсутствие встречного предоставления, пришли к выводам о доказанности совокупности условий для признания её недействительной и наличии оснований для удовлетворения заявления.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«БизнесАльтернатива»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