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01.02.2021, оставленным без изменения постановлением Девятого арбитражного апелляционного суда от 14.04.2021 и постановлением Арбитражного суда Московского округа от 19.08.2021,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общество (арендатор) допустило нарушения условий договора, которые не устранило после неоднократного направления компанией (арендодатель) письменных претензий, суды первой и апелляционной инстанций пришли к выводу о том, что компания правомерно реализовала предусмотренное пунктом 8 договора и статьей 450.1 Гражданского кодекса Российской Федерации право на односторонний отказ от его исполнения. При таких обстоятельствах, руководствуясь статьями 309 , 310 , 421 , 432 , 450.1 , 614 Гражданского кодекса Российской Федерации, суды отказали в удовлетворении исковых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«Хоум Трейд»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