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общество обратилось в суд с заявлением о разрешении разногласий по текущим платежам. Определением Арбитражного суда Пермского края от 26.03.2021 разногласия разрешены в пользу общества путём отнесения текущей задолженности по договору оказания аудиторских услуг №66 от 25.03.2019 в сумме 128 000 рублей к первой очереди текущих платежей. Постановлением Семнадцатого арбитражного апелляционного суда от 04.06.2021, оставленным без изменения постановлением Арбитражного суда Уральского округа от 03.08.2021, данное определение отменено; разногласия разрешены путём отнесения текущей задолженности перед обществом к пятой очереди текущих платежей.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разногласия, суды апелляционной инстанции и округа, руководствуясь статьями 16, 60, 126, 134 Федерального закона от 26.10.2002 № 127-ФЗ «О несостоятельности (банкротстве)», исходили из того, что заключение договора на проведение аудита выполнялось конкурсным управляющим в рамках исполнения функций исполнительного органа должника и обусловлено требованиями корпоративного законодательства, а не целями конкурсного производства в связи с чем отнесли требования общества к пятой очереди текущих платежей.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«Инвест-аудит»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