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«Офисный центр» (далее – общество) обратилось в суд с заявлением о процессуальной замене конкурсного кредитора – общества с ограниченной ответственностью «КАМА» на себя в реестре требований кредиторов должника на основании договора уступки прав (требования) № 03-2020-К от 01.11.2020. Определением Арбитражного суда Камчатского края от 06.04.2021, оставленным без изменения постановлениями Пятого арбитражного апелляционного суда от 16.06.2021 и Арбитражного суда Дальневосточного округа от 17.08.2021,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48, 184 185 Арбитражного процессуального кодекса Российской Федерации, статьями 382, 388 Гражданского кодекса Российской Федерации, исследовав последовательность перехода права требования между кредиторами, признав состоявшимся факт его уступки обществу на основании реальной сделки и не установив в действиях её участников признаков злоупотребления правом, произвели замену конкурсного кредитора.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Приводимые в кассационной жалобе доводы заявителя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Анненковой Галине Филипповне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