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06.04.2021, оставленным без изменения постановлением Одиннадцатого арбитражного апелляционного суда от 20.05.2021 и постановлением Арбитражного суда Поволжского округа от 22.07.2021,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 вследствие игнорирования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«Актив-Плюс»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