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18.02.2021, оставленным без изменения постановлением Девятого арбитражного апелляционного суда от 09.04.2021 и постановлением Арбитражного суда Московского округа от 07.07.2021, в удовлетворении жалобы отказано. В кассационной жалобе Шин М.М. просит об отмене судебных актов в части отказа в признании действий незаконными, исключении из их мотивировочных частей утверждения о неисполнении должником обязанностей по передаче сведений об имуществе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исследовав обстоятельства спора, установили, что действия финансового управляющего не нарушили прав или законных интересов должника, не повлекли уменьшения конкурсной массы и причинения убытков кредиторам должника, поэтому отказали в удовлетворении жалобы в соответствии со статьями 20.3, 60, 213.9 Федерального закона от 26.10.2002 № 127-ФЗ «О несостоятельности (банкротстве)» и их судебным толкованием. Иная оценка должником своих и финансового управляющего действий, к которой сводятся доводы жалобы, не отвечает критериям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Шин М.М.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