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14.02.2020 иск удовлетворен. Принятым при новом рассмотрении дела после отмены окружным судом апелляционного постановления Десятый арбитражный апелляционный суд постановлением от 18.03.2021 решение от 14.02.2020 отменил и иск удовлетворил. Арбитражный суд Московского округа постановлением от 14.07.2021 постановление Десятого арбитражного апелляционного суда от 18.03.2021 оставил без изменения. 2 В кассационной жалобе предприниматель просит об отмене судебных актов, ссылаясь на несоответствие выводов судов о вине перевозчика и размере убытков фактическим обстоятельствам спора.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оводами жалобы не усматривается. В силу статьи 796 Гражданского кодекса Российской Федерации вина перевозчика в несохранности груза презюмируется. В рамках данного дела суды установили наступление ответственности предпринимателя как перевозчика за убытки, поэтому в соответствии со статьями 15, 393, 796 Гражданского кодекса Российской Федерации обязали возместить истцу уплаченную грузовладельцу сумму. Обстоятельства утраты груза и размер убытков установлен в деле № А40-120829/2018 и не требуют доказательств в рассматриваемом деле, поскольку касаются одного события.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Туманову А.В.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