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10.12.2020 взыскано 671 743 рубля 60 копеек убытков. Семнадцатый арбитражный апелляционный суд постановлением от 18.03.2021 изменил решение 10.12.2020, взыскав 1 017 892 рубля 32 копейки убытков. Арбитражный суд Уральского округа постановлением от 07.07.2021 постановление Семнадцатого арбитражного апелляционного суда от 18.03.2021 оставил без изменения. 2 В кассационной жалобе общество «СИТИ-ТРАНС» просит об отмене судебных актов апелляционного и окружного судов, ссылаясь на неправомерность включения в стоимость утраченного в результате несохранной перевозки груза налога на добавленную стоимость.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наступление ответственности общества «СИТИ-ТРАНС» за утрату груза, принятого к перевозке на основании договора об оказании транспортных услуг от 08.12.2016 № 08/12/16-01, поэтому обязали его возместить истцу (заказчику) стоимость утраченного груза в соответствии со статьями 401, 785, 796 Гражданского кодекса Российской Федерации и статьей 34 Федерального закона от 08.11.2007 № 259-ФЗ «Устав автомобильного транспорта и городского наземного электрического транспорта». Налог на добавленную стоимость заложен в стоимость утраченного при перевозке товара, поэтому правомерно включен в состав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