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14.12.2020, оставленным без изменения постановлением Третьего арбитражного апелляционного суда от 23.03.2021 и постановлением Арбитражного суда Восточно-Сибирского округа от 29.06.2021, производство по заявлению общества о взыскании судебных расходов, поданному с пропуском срока, прекращено применительно к пункту 1 части 1 статьи 150 Арбитражного процессуального кодекса Российской Федерации. В кассационной жалобе общество просит о пересмотре судебных актов, ссылаясь на неправильное исчисление судом срока на подачу заявления о судебных расходах.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Исчисляемый месяцами, срок на подачу заявления о взыскании судебных расходов начинает течение со следующего дня после принятия последнего судебного акта и истекает в соответствующее число последнего месяца установленного срока (часть 2 статьи 114 Арбитражного процессуального кодекса Российской Федерации). Таким образом, в рассматриваемом случае начавшийся с 14.07.2020 срок закончился 13.10.2020, на что правильно указали суды. День получения судебного акта влияет не на исчисление срока, а на восстановление, о чем общество нее просило.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агентство «Ратибор-В»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