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02.03.2021, оставленным без изменения постановлением Седьмого арбитражного апелляционного суда от 18.05.2021 и постановлением Арбитражного суда Западно-Сибирского округа от 11.08.2021, процедура реализации имущества должника завершена, должник освобожден от дальнейшего исполнения требований кредиторов. В кассационной жалобе Степанов С.В.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