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25.12.2020, оставленным без изменения постановлением Пятнадцатого арбитражного апелляционного суда от 04.05.2021 и постановлением Арбитражного суда Северо-Кавказского округа от 16.07.2021, в удовлетворении заявления отказано. В кассационной жалобе общество «Партнерство» просит об отмене судебных актов, ссылаясь на неосновательное уклонение от иной оценки установленных судом общей юрисдикции обстоятельств, отсутствие преюдиции, нарушение права на оспаривание сделки в деле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рамках рассмотренных судами общей юрисдикции дел, связанных с оспариваемыми сделками, не установлено условий для недействительности сделок, и в пределах данного дела не представлено доказательств для иной оценки обстоятельств совершения сделок и действий их участников в том числе должника. Таким образом, доводы общества в отношении сделок оценены в деле о банкротстве. Иные выводы противоречили бы статьям 16,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