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16.08.2019, оставленным без изменения постановлением Девятого арбитражного апелляционного суда от 27.01.2020, в иске отказано. Постановлением Арбитражного суда Московского округа от 16.07.2020 решение и постановление апелляционного суда отменены, дело направлено на новое рассмотрение в Арбитражный суд города Москвы. В кассационной жалобе центр просит отменить постановление окружного суда, ссылаясь на отсутствие основания для отмены судебных актов нижестоящих инстанций, исследовавших обстоятельства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обстоятельства, необходимые для разрешения спора применительно к его специфике, поэтому отменил судебные акты в пределах предусмотренных статьями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«Национальный центр информации»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"БАРС ГРУП" (подробнее) Ответчики: ООО "национальный центр информатизации"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