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24.02.2021, оставленным без изменения постановлением Десятого арбитражного апелляционного суда от 20.04.2021, в порядке процессуального правопреемства произведена замена заявителя по обособленному спору Никитина А.Н. на Мирошникова В.Н.; требование Мирошникова В.Н. в размере 10 821 150 рублей основного долга, 4 616 298 рублей 22 копеек процентов и 1 255 422 рублей 77 копеек неустойки признано обоснованным и подлежащим удовлетворению за счет имущества, оставшегося после удовлетворения требований кредиторов, включенных в реестр, в связи с пропуском срока для включения в реестр и отказом в восстановлении срока. Арбитражный суд Московского округа постановлением от 15.07.2021 определение от 24.02.2021 и постановление Десятого арбитражного апелляционного суда от 20.04.2021 оставил без изменения. В кассационной жалобе Мирошников В.Н. просит об отмене судебных актов, ссылаясь на правовую неопределенность в вопросе возврата имущества в 2 конкурсную массу в качестве основания для восстановления срока для включения требования в реестр. В силу части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течение двух месяцев после регистрации 18.09.2019 за должником заложенного имущества кредитор без объективных причин не обратился с заявлением о включении спорной суммы в реестр, поэтому на основании статей 71, 100, 142, 213.24 Федерального закона от 26.10.2002 № 127-ФЗ «О несостоятельности (банкротстве)» признали требование подлежащим удовлетворению за пределами реестра. Доводу о правовой неопределенности возврата имущества в конкурсную массу дана оценка судов, компетентных на оценку причин пропуска срока.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Мирошникову В.Н.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