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03.02.2021, оставленным без изменения постановлением Одиннадцатого арбитражного апелляционного суда от 12.04.2021 и постановлением Арбитражного суда Поволжского округа от 14.07.2021, взыскано 2 640 рублей штрафа. В кассационной жалобе компания просит о пересмотре судебных актов в неудовлетворенной части иска, ссылаясь на неуказание правового основания для освобождения перевозчика от ответственности.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качестве правового основания для освобождения перевозчика от ответственности, предусмотренной статьей 100 Федерального закона от 10.01.2003 № 18-ФЗ «Устав железнодорожного транспорта Российской Федерации», суды указали на абзац 13 статьи 44 Устава в отношении части вагонов, выведенных на выставочные пути в отсутствие составленных в установленном порядке перевозочных документов на перевозку порожних вагонов, на абзац 4 статьи 100 Устава в отношении части вагонов, находившихся на выставочном пути менее 15 минут, на нахождение части вагонов в процессе перевозки в заявленный период начисления штрафа, неправильный расчет штрафа по некоторым вагонам. Изменение оценки установленных обстоятельств, составляющих условия применения ответственности, не попадает под основания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«Нефтехимическая транспортная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