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16.02.2021, оставленным без изменения постановлением Девятого арбитражного апелляционного суда от 29.04.2021 и постановлением Арбитражного суда Московского округа от 11.08.2021, в удовлетворении заявления отказано. 2 В кассационной жалобе общество ставит вопрос об отмене принятых по делу судебных актов в связи с существенным нарушением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проведенной выездной проверки за период с 01.01.2014 по 31.12.2016 налоговый орган доначислил налогоплательщику налог на добавленную стоимость (далее - НДС) и налог на прибыль, пени и штраф ввиду нарушения обществом положений пункта 1 статьи 54.1 Налогового кодекса Российской Федерации в виде завышения вычетов по НДС и расходов по налогу на прибыль организаций по взаимоотношениям с подконтрольными контрагентами в результате заключения фиктивных договоров на поставку товара. Не согласившись с выводами инспекции, общество обратилось в арбитражный суд. Исследовав и оценив имеющиеся в материалах дела доказательства в их совокупности и взаимосвязи, руководствуясь положениями Налогового кодекса Российской Федерации, суды согласились с выводом инспекции об умышленном создании налогоплательщиком условий, направленных исключительно на получение налоговой экономии при отсутствии реальных сделок со спорными контрагентами. 3 Так, судами установлено, что спорные контрагенты были использованы обществом только для минимизации своих налоговых обязательств путем искусственного завышения расходов организации и применения необоснованных налоговых вычетов; реальность сделок по приобретению товаров у спорных контрагентов не доказана; обществом умышленно совершались действия по формированию фиктивного документооборота; отсутствовала потребность в товарно-материальных ценностях, приобретаемых у указанных контрагентов, и хозяйственная необходимость в заключении спорных договоров; заключение сделок, не свойственных предпринимательскому обороту; взаимозависимость и взаимосвязанность всех участников сделок; предопределение движения денежных и товарных потоков; формальное отношение к невыполнению контрагентами своих обязательств. Приведенные в жалобе доводы сводятся к изложению обстоятельств дела, которые получили надлежащую правовую оценку судов и мотивированно отклонены, не опровергают, не подтверждают существенных нарушений судами норм материального и (или) процессуального права, фактически направлены на переоценку выводов судов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Учитывая изложенное и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«Густореченское»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