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18.03.2021, оставленным без изменения постановлением Девятого арбитражного апелляционного суда от 22.06.2021 и постановлением Арбитражного суда Московского округа от 17.09.2021, исковые требования удовлетворены. В кассационной жалобе, поданной в Верховный Суд Российской Федерации, управление,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общества (подрядчик) мотивированы выполнением им работ и неисполнением управлением (заказчик) обязанности по возврату гарантийного удержания по договору подряда от 24.11.2016 № 32/16-Э.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признали подтвержденным факт выполнения обществом работ по договору. Установив, что срок выплаты гарантийного удержания наступил, при этом управление доказательств оплаты спорной суммы, как и доказательств наличия в выполненных работах каких-либо недостатков не представило, руководствуясь статьями 307, 309, 310, 329, 330, 401, 421, 431, 702, 711, 740, 746 Гражданского кодекса Российской Федерации, разъяснениями, изложенными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постановлении Пленума Высшего Арбитражного Суда Российской Федерации от 14.03.2014 № 16 «О свободе договора и ее пределах», суды удовлетворили заявленные требования. Суд округа согласился с выводами судов первой и апелляционной инстанций. Доводы заявителя, в том числе о том, что суд первой инстанции необоснованно отказал в удовлетворении ходатайства об отложении судебного разбирательства, возвратил встречный иск, а также о наличии в выполненных работах недостатков, были предметом рассмотрения нижестоящих судов и получили правовую оценку. Ссылка заявителя на определение Судебной коллегии Верховного Суда Российской Федерации от 01.12.2020 № 305-ЭС20-14939 не может быть принята во внимание, поскольку обстоятельства, имеющиеся в рассматриваемом деле, не тождественны обстоятельствам, приведенным в названном определении Судебной коллегии.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«Управление капитального строительства «ИНТЕКО»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