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Белгородской области от 02.12.2020, оставленным без изменения постановлением Девятнадцатого арбитражного апелляционного суда от 22.03.2021 и постановлением Арбитражного суда 2 Центрального округа от 17.08.2021, в удовлетворении исковых требований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суды первой и апелляционной инстанций пришли к выводу о наличии между сторонами отношений по возмездному оказанию услуг. Установив факт оказания предпринимателем услуг по ремонту автомобиля, отметив, что стоимость оплаченных истцами денежных средств соответствует стоимости работ, отраженных в односторонних актах на выполненные работы, направленных истцам, признав мотивы отказа от подписания данных актов необоснованными, руководствуясь статьями 154, 420, 432, 434, 753, 779, 783, 1102, 1103 Гражданского кодекса Российской Федерации, суды сочли недоказанным возникновение на стороне ответчика неосновательного обогащения, в связи с чем отказали в удовлетворении исковых требований. Суд округа согласился с выводами судов первой и апелляционной инстанций. Доводы кассационной жалобы не опровергают выводы судов, не подтверждают существенных нарушений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3 291.8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общества с ограниченной ответственностью «РусАгроТрейд»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