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05.02.2021, оставленным без изменения постановлением Девятнадцатого арбитражного апелляционного суда от 15.04.2021 и постановлением Арбитражного суда Центрального округа от 09.08.2021, заявленное требование удовлетворено. В кассационной жалобе, поступившей в Верховный Суд Российской Федерации, управление просит отменить принятые по делу судебные акты, указывая на их незаконность и необоснованность.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оспоренным постановлением общество привлечено к административной ответственности, предусмотренной статьей 7.1 КоАП РФ, с назначением наказания в виде штрафа в размере 100 000 рублей за самовольное использование земельного участка. Оценив представленные в материалы дела доказательства в их совокупности и взаимосвязи, руководствуясь положениями КоАП РФ, 3 статей 1, 35, 39.20 Земельного кодекса Российской Федерации, статьи 552 Гражданского кодекса Российской Федерации, признав недоказанным управлением наличия состава указанного административного правонарушения, суды пришли к выводу о незаконности оспариваемого постановления. Приведенные в кассационной жалобе доводы о наличии в действиях общества состава административного правонарушения сводятся к несогласию управления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