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04.02.2021, оставленным без изменения постановлением Девятнадцатого арбитражного 2 апелляционного суда от 15.04.2021 и постановлением Арбитражного суда Центрального округа от 09.08.2021, заявленное требование удовлетворено. В кассационной жалобе, поступившей в Верховный Суд Российской Федерации, управление просит отменить принятые по делу судебные акты, указывая на их незаконность и необоснованность.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оспоренным постановлением общество привлечено к административной ответственности, предусмотренной статьей 7.1 КоАП РФ, с назначением наказания в виде предупреждения за самовольное использование части земельного участка с кадастровым номером 46:24:000000:139. Оценив представленные в материалы дела доказательства в их совокупности и взаимосвязи, руководствуясь положениями КоАП РФ, статей 1, 35, 39.20 Земельного кодекса Российской Федерации, разъяснениями, изложенными в пункте 1 постановления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3 правонарушениях», признав недоказанным управлением наличие состава указанного административного правонарушения, суды пришли к выводу об отсутствии правовых оснований для вынесения оспоренного постановления. Приведенные в кассационной жалобе доводы о наличии в действиях общества состава административного правонарушения сводятся к несогласию управления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