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03.11.2020, оставленным без изменения постановлением Десятого арбитражного апелляционного суда от 08.02.2021 и постановлением Арбитражного суда Московского округа от 09.04.2021,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16, 1064, 1069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инстанций пришли к выводу об отсутствии оснований для удовлетворения иска, исходя из недоказанности истцом наличия вины ответчика и причинно-следственной связи между его действиями и заявленными ко взысканию убытками. Суд округа согласился с выводами судов первой и апелляционной инстанций. Доводы кассационной жалобы не опровергают выводы судов, не подтверждают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«Энергомонтаж-Сервис»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