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10.02.2021, оставленным без изменения постановлением Третьего арбитражного апелляционного суда от 22.04.2021, в иске отказано. Постановлением Арбитражного суда Восточно-Сибирского округа от 12.08.2021 указанные судебные акты оставлены без изменения. Общество в кассационной жалобе просит отменить состоявшиеся по делу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309, 310, 450, 450.1, 720, 723, 740, 753 Гражданского кодекса Российской Федерации, статей 34, 94, 95 Федерального закона от 05.04.2013 №44-ФЗ «О контрактной системе в сфере закупок товаров, работ, услуг для обеспечения государственных и муниципальных нужд», статьи 45 Федерального закона 3 от 25.06.2002 № 73-ФЗ «Об объектах культурного наследия (памятниках истории и культуры) народов Российской Федерации», суды в иске отказали, признав правомерным отказ ответчика от исполнения контракта в связи с недостижением подрядчиком предусмотренного контрактом результата работ в установленный срок. Приведенные в жалобе доводы, которые были предметом исследования и оценки судов, не свидетельствуют о наличии оснований для отмены в кассационном порядке оспариваемых судебных актов, поскольку фактически сводятся к несогласию с выводами судов по обстоятельствам дела.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приведено.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