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09.02.2021, оставленным без изменения постановлениями Девятого арбитражного апелляционного суда от 12.05.2021 и Арбитражного суда Московского округа от 20.08.2021, в удовлетворении заявленного требования отказано. 2 В кассационной жалобе, поданной в Верховный Суд Российской Федерации, заявители ссылаются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обращения ассоциации о наличии признаков ограничения конкуренции на рынке гибких предварительно изолированных труб в связи с введением в действие ГОСТ Р 58097-2018, утвержденного приказом Росстандарта от 05.04.2018 № 179-ст (далее - ГОСТ Р 58097-2018), антимонопольный орган пришел к выводу о наличии в действиях Росстандарта, выразившихся в ограничении конкуренции на рынке гибких полимерных изолированных труб с тепловой изоляцией и соединительных деталей к ним для наружных сетей тепло- и водоснабжения, путем включения в ГОСТ Р 58097- 2018 пунктов 3.27, 4.1.1, 4.3.1 (таблица № 1), 5.1.1, необоснованно повышающих требования к теплоизоляционному слою труб, конструкции труб, изготовлению внутреннего слоя напорных труб, признаков нарушения части 1 статьи 15 Федерального закона от 26.07.2006 № 135-ФЗ «О защите конкуренции» (далее – Закон о защите конкуренции), в связи с чем выдал оспариваемое предупреждение. Предупреждением ФАС России на Росстандарт возложена обязанность по устранению причин и условий, способствовавших возникновению нарушения антимонопольного законодательства.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части 1 статьи 15, статьи 39.1 Закона о защите конкуренции, Федерального закона от 29.06.2015 № 162-ФЗ «О стандартизации в Российской Федерации»,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Федерального закона от 18.07.2011 № 223-ФЗ «О закупках товаров, работ, услуг отдельными видами юридических лиц», суды пришли к выводу о законности оспариваемого ненормативного правового акта ФАС России. 3 Судебные инстанции исходили из того, что внесенные Росстандартом в ГОСТ Р 58097-2018 изменения могут способствовать ограничению конкуренции при закупках гибких полимерных армированных труб и фитингов к ним. При этом суды указали, что установленные внесенными изменениями требования относятся к товарам, фактически производимым одним производителем. По существу доводы жалобы не свидетельствуют о существенных нарушениях норм материального и процессуального права, которые повлияли на исход дела, являлись предметом рассмотрения судов, выражают несогласие с их выводами и основаны на ином толковании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Полимертепло» и акционерному обществу «Завод Полимерных Труб»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