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11.12.2020 иск удовлетворен в заявленном объеме. Восемнадцатый арбитражный апелляционный суд постановлением от 26.03.2021 отменил решение от 11.12.2020 и отказал в удовлетворении иска в связи с истечением срока исковой давности, о применении которой было заявлено ответчиком в суде первой инстанции. Арбитражный суд Уральского округа постановлением от 03.08.2021 постановление Восемнадцатого арбитражного апелляционного суда от 26.03.2021 оставил без изменения. В кассационной жалобе предприниматель просит об отмене судебных актов апелляционного и окружного судов, ссылаясь на неверную квалификацию договора и неправильное применение сокращенного срока исковой давности.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предметом договора международных транспортно- экспедиционных услуг от 20.02.2017 является перевозка грузов в междугородном и международном сообщении и при исполнении договора стороны руководствуются нормативно-правовыми актами в сфере перевозки. При таких обстоятельствах суд апелляционной инстанции правомерно применил к спорным правоотношениям срок исковой давности, предусмотренный статьей 797 Гражданского кодекса Российской Федерации, определив началом его течения истечение разумного срока (статья 314 Кодекса) на оплату услуг, оказание которых подтверждено двусторонними актами.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Арутюняну А.С.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