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04.03.2021 требования ФИО2 в размере 70 000 000 рублей основного долга и 11 661 805 рублей 60 копеек процентов включены в третью очередь реестра требований кредиторов должника, 5 078 402 рублей 78 копеек процентов – в третью очередь отдельно с удовлетворением после погашения основной задолженности и причитающихся процентов. Девятый арбитражный апелляционный суд постановлением от 27.05.2021 отменил определение от 04.03.2021 и в удовлетворении заявления отказал. Арбитражный суд Московского округа постановлением от 10.08.2021 постановление апелляционного суда от 27.05.2021 оставил без изменения. В кассационной жалобе ФИО2 просит об отмене судебных актов апелляционного и окружного судов, ссылаясь на неполучение копии апелляционной жалобы, игнорирование доказательств финансовой состоятельности для предоставления займа и неистребование у должника доказательств расходования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известил о рассмотрении апелляционной жалобы, что при неполучении ее копии не ограничивало заявителя в ознакомлении с делом. Апелляционный суд признал представленные доказательства предоставления денежных средств не подтверждающими обоснованность включаемых в реестр требований, учитывая наличие в них выявленной экспертным путем порочности, поэтому отказал в удовлетворении заявления в силу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