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05.04.2021, оставленным без изменения постановлениями Пятнадцатого арбитражного апелляционного суда от 25.05.2021 и Арбитражного суда Северо-Кавказского округа от 11.09.2021, исковые требования удовлетворены.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истцы осуществляют деятельность по перевозке пассажиров автобусами по маршрутам в городском сообщении на платной основе в Шахты Ростовской области. В 2019 – 2020 годах истцы оказывали услуги по бесплатному проезду льготных категорий граждан на городском пассажирском транспорте общего пользования в городе Шахты. Полагая, что расходы, связанные с предоставлением бесплатного проезда на городском пассажирском транспорте льготных категорий граждан, включенных в федеральный регистр льготников, возмещены не в полном объеме, ООО «АвтоДон-2», ООО «АвтоДон-3», ООО «АвтоДон-4», ООО «Пассажирское автотранспортное предприятие 1» и предприниматель обратились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790, 1069, 1071 Гражданского кодекса Российской Федерации, постановлением Правительства Ростовской области от 15.12.2011 № 232 «О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предоставления», суды пришли к выводу о том, что убытки, возникшие у истцов в связи с предоставлением льгот по перевозке в общественном пассажирском транспорте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