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22.03.2021, оставленным без изменения постановлением Девятого арбитражного апелляционного суда от 26.05.2021 и постановлением Арбитражного суда Московского округа от 12.08.2021, в удовлетворении заявления отказано. В кассационной жалобе Пак Ю.В. просит об отмене судебных актов, ссылаясь на игнорирование недобросовестных действий должника, приведших к пропуску срока на подачу заявления о включении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заявителя в отношении срока на подачу заявления о включении требования в реестр беспредметны, учитывая рассмотрение заявления по существу. Руководствуясь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признали недоказанность применительно к установленным названными нормами критериям наличия обязательства должника перед кредитором на спорную сумму.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Паку Юрию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