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02.12.2020, оставленным без изменения постановлением Тринадцатого арбитражного апелляционного суда от 22.03.2021 и постановлением Арбитражного суда Северо-Западного округа от 30.07.2021, в удовлетворении иска отказано в связи с прекращением залога. В кассационной жалобе общество «БалтВестОйл» просит об отмене судебных актов, указывая, что судами не учтен срок ведения исполнительного производства.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залогодателем не является должник в обязательстве по поставке, поэтому в отношении срока действия договора залога, учитывая несогласование в нем срока, правомерно руководствовались статьями 335 (пункт 1), 367 (пункт 6) Гражданского кодекса Российской Федерации. Несовпадение залогодателя с основным должником не позволяет учитывать ведение в отношении последнего исполнительного производства в целях определения срока действия залога.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«БалтВестОйл»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