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города Москвы от 03.03.2021, оставленным без изменения постановлением Девятого арбитражного апелляционного суда от 24.05.2021 и постановлением Арбитражного суда Московского округа от 18.08.2021, иск удовлетворен. В кассационной жалобе компания просит об отмене судебных актов, ссылаясь на отсутствие доказательств принятия оборудования и чинения препятствий в доступе к нему.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применяя правило статьи 69 Арбитражного процессуального кодекса Российской Федерации, установили, что стороны состояли в правоотношениях, оформленных договором от 18.04.2011 № 3, который исполнялся и по условиям которого оборудование общества размещалось в предоставленных компанией местах, поэтому последняя обязана судом к возврату оборудования по факту прекращения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АЛСиТЕК»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