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Верховный Суд Российской Федерации с указанной кассационной жалобой, одновременно ходатайствуя о восстановлении срока подачи кассационной жалобы.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Обращаясь с ходатайством о восстановлении пропущенного процессуального срока, заявитель указывает на то, что первоначально кассационная жалоба была подана в течение двухмесячного срока, установленного для обжалования судебных актов в кассационном порядке, а недостатки, послужившие основанием для возвращения первоначально поданной кассационной жалобы, были устранены. Рассмотрев ходатайство, суд не усматривает оснований для его удовлетворения исходя из следующего. Жалоба предпринимателя подлежит рассмотрению в кассационном порядке при условии ее оформления и подачи в соответствии с нормами главы 35, статей 291.1 – 291.3 Арбитражного процессуального кодекса Российской Федерации. Таким образом, срок подачи кассационной жалобы пропущен заявителем в связи с подачей первоначальной жалобы с нарушением требований, установленных Арбитражным процессуальным кодексом Российской Федерации. Незнание или неверное толкование положений законодательства не может быть признано в качестве причины, не зависящей от заявителя.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Таких причин заявитель не привел. Доподлинно зная о состоявшемся постановлении суда округа и намереваясь его обжаловать, заявитель имел реальную возможность реализовать свое право на обжалование. Согласно ч. 1 ст. 9 АПК РФ , лица, участвующие в деле, несут риск наступления последствий совершения или несовершения ими процессуальных действий. При таких обстоятельствах ходатайство заявителя о восстановлении пропущенного срока следует оставить без удовлетворения, а кассационную жалобу – возвратить заявителю. Руководствуясь статьями 184 , 291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Сеина Александра Викторовича о восстановлении пропущенного процессуального срока. Возвратить индивидуальному предпринимателю ФИО1 кассационную жалобу на определение Восьмого арбитражного апелляционного суда от 19.08.2016, постановление Арбитражного суда Западно-Сибирского округа от 21.12.2016 по делу № А81-1106/2015. Судья А.Н. Маненков Суд: Верховный Суд РФ (подробнее) Истцы: Администрация города Лабытнанги (подробнее) Ответчики: ИП Сеин Александр Викторович (подробнее) Иные лица: Россия, 644024, Омск, ул.10 лет Октября, д.42 (подробнее) Судьи дела: Маненков А.Н.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