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31.03.2021, оставленным без изменения постановлением Девятого арбитражного апелляционного суда от 25.06.2021 и постановлением Арбитражного суда Московского округа от 04.10.2021, заявление удовлетворено в части признания незаконными действий. В кассационной жалобе Лагода М.С. просит об отмене судебных актов, ссылаясь на непричинение вреда кредиторам, направленность их действий на его исключение из участия в следующей процедуре банкротства должника, отсутствие оценки его доводам.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Претензии кредиторов оценены судами применительно к критериям деятельности арбитражного управляющего, содержащимся в статье 20.3 Федерального закона от 26.10.2002 № 127-ФЗ «О несостоятельности (банкротстве)». Установленные судами создание финансовым управляющим препятствий к проведению собрания кредиторов по вопросу об оценке деятельности управляющего, бездействие в оспаривании сделок должника и обеспечению участия в судебных процессах, в установлении наличия за пределами Российской Федерации хозяйственной деятельности должника и выявлению его имущества признано не соответствующим закону. Довод заявителя об отсутствии оценки его возражениям опровергается содержанием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Лагоде М.С.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