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25.03.2021, оставленным без изменения постановлением Тринадцатого арбитражного апелляционного суда от 09.06.2021 и постановлением Арбитражного суда Северо-Западного округа от 17.09.2021, утверждено Положение о порядке, о сроках и об условиях реализации имущества должника в редакции, представленной финансовым управляющим. В кассационной жалобе ФИО2 и ФИО3 просят об отмене судебных актов, ссылаясь на нахождение имущества в общей собственности супругов и необходимости продажи его в целом с выплатой причитающейся доли второму супругу.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имущество принадлежит супругам в равных долях, и сделка по отчуждению должником его доли стороннему лицу признана недействительной в самостоятельном споре в рамках дела о банкротстве должника с обращением доли в конкурсную массу. Таким образом, наличие имущества в совместной собственности и право на его реализацию в целом с выплатой супружеской доли опровергнуто. В деле о банкротстве супруги должника принято решение о реализации ее доли, поэтому в рассматриваемом споре аналогичное Положение утверждено в отношении доли должника в соответствии со статьями 110, 111, 112, 139, 140, 213.26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и ФИО3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