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04.02.2021 первоначальный иск удовлетворен, в удовлетворении встречного иска отказано. Постановлением Девятого арбитражного апелляционного суда от 30.04.2021, оставленным без изменения постановлением Арбитражного суда Московского округа от 09.07.2021, решение от 04.02.2021 изменено: с общества «Втормет» в пользу общества «Ресо-Лизинг» взыскано 213 299 рублей 17 копеек неосновательного обогащения, в удовлетворении остальной части первоначального иска отказано. В остальной части решение суда оставлено без изменения. В кассационной жалобе общество «Втормет» просит об отмене судебных актов, ссылаясь на неприменение к случаю расторжения договора лизинга не в связи с просрочкой уплаты лизинговых платежей порядка определения сальдо 2 встречных обязательств, установленный постановлением Пленума Высшего Арбитражного Суда Российской Федерации от 14.03.2014 № 17 «Об отдельных вопросах, связанных с договором выкупного лизинга».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лизингодателя от договора в связи с нарушением его лизингополучателем, имевший место в рассматриваемом случае, по правовым последствиям для лизингодателя не отличается от прекращения договора в связи с неуплатой лизинговых платежей, поэтому определение сальдо встречных обязательств в соответствии с названным постановлением Пленума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«Втормет»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