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23.11.2020, оставленным без изменения постановлением Девятнадцатого арбитражного апелляционного суда от 22.03.2021 и постановлением Арбитражного суда Центрального округа от 04.08.2021, иск удовлетворен. В кассационной жалобе компания просит об отмене судебных актов, ссылаясь на отсутствие правового основания для взыскания долга и подтверждающих его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оказание услуг и неоплату их ответчиком, удовлетворили иск в соответствии со статьями 779 , 781 Гражданского кодекса Российской Федерации. Довод компании о непопадании спорных услуг под предмет договора от 01.06.2017 рассмотрен и отклонен судами, учитывая подписание компанией актов о принятии услуг, являющихся основанием для оплаты независимо от договора.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«Семья»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