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10.08.2021 производство по заявлению о пересмотре решения от 27.07.2020 по вновь открывшимся обстоятельствам прекращено. В соответствии с частью 1 статьи 291.1 Арбитражного процессуального кодекса Российской Федерации кассационные жалобы на определения арбитражных судов округов, вынесенные ими в процессе кассационного производства, подаются в судебную коллегию Верховного Суда Российской Федерации если такие были обжалованы в предусмотренных Кодексом случаях в суд округа. Поскольку законность и обоснованность определения Арбитражного суда Московского округа от 10.08.2021 не проверялись по существу в арбитражном суде округа в порядке статьи 291 Арбитражного процессуального кодекса Российской Федерации,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2 Руководствуясь статьей 184, пунктом 1 части 1 статьи 150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открытого акционерного общества «НПК «ИНТЕРТЕХПРОМ» на определение Арбитражного суда Московского округа от 10.08.2021 по делу № А40-51080/2020 Арбитражного суда города Москвы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