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23.11.2021 (согласно оттиску штампа на почтовом конверте) повторно направил в Верховный Суд Российской Федерации указанную кассационную жалобу, к которой приложил ходатайство о восстановлении пропущенного срока на ее подачу.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Рассмотрев ходатайство о восстановлении процессуального срока, оснований для его удовлетворения не установлено. Так, в обоснование ходатайства заявитель указывает на то, что первоначальная жалоба (возвращена письмом Верховного Суда Российской Федерации от 26.10.2021 № 308-ЭС21-23961 в связи с пропуском срока) была направлена им в установленный срок (04.10.2021) через отделение ООО «Национальная почтовая служба – Каспий». Однако, представленными заявителем сведениями не подтверждается, что ООО «Национальной почтовая служба» в данном случае оказывало заявителю услуги почтовой связи в качестве организации почтовой связи в том смысле, в котором им придают значение положения Федерального закона от 17.07.1999 № 176-ФЗ «О почтовой связи». Исходя из штампа на почтовом конверте первоначальная кассационная жалоба принята в отделении почтовой связи АО «Почта России» 18.10.2021 за пределами установленного срока. Таким образом, поскольку данные АО «Почта России» свидетельствуют о передаче жалобы в отделение организации почтовой связи за пределами срока, доводы о своевременной подаче жалобы подлежат отклонению. В соответствии с частью 2 статьи 9 Арбитражного процессуального кодекса Российской Федерации лица, участвующие в деле, несут риск наступления последствий совершения или не совершения ими процессуальных действий. Поскольку в ходатайстве не приведено обстоятельств, свидетельствующих о том, что процессуальный срок пропущен по не зависящим от заявителя причинам оснований для удовлетворения ходатайства не имеется.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Департамента по надзору в строительной сфере Краснодарского края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